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3A7D065D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9670B4" w:rsidRPr="009670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670B4" w:rsidRPr="00AE70C6">
        <w:rPr>
          <w:rFonts w:ascii="Times New Roman" w:hAnsi="Times New Roman"/>
          <w:b/>
          <w:sz w:val="24"/>
          <w:szCs w:val="24"/>
          <w:lang w:val="bs-Latn-BA"/>
        </w:rPr>
        <w:t>AKADEMIJA LIKOVNIH UMJETNOSTI</w:t>
      </w:r>
      <w:r w:rsidR="009670B4" w:rsidRPr="00AE70C6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A" w14:textId="72762BD9" w:rsidR="006B258C" w:rsidRPr="00A6642A" w:rsidRDefault="009670B4" w:rsidP="009670B4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sa sjedištem u Obala Maka Dizdara 3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zastupan od dekana, Prof.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dr. Dubravke Pozderac - Lejlić,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3FEE243F" w14:textId="77777777"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7DE01ED5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A5162C">
        <w:rPr>
          <w:rFonts w:ascii="Times New Roman" w:hAnsi="Times New Roman"/>
          <w:b/>
          <w:sz w:val="24"/>
          <w:szCs w:val="24"/>
          <w:lang w:val="bs-Latn-BA"/>
        </w:rPr>
        <w:t>2025/2026.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565A8169" w14:textId="77777777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2" w14:textId="6DBD6AFA" w:rsidR="006B258C" w:rsidRPr="00CB63B4" w:rsidRDefault="006427AD" w:rsidP="009670B4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prvi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9670B4">
        <w:rPr>
          <w:rFonts w:ascii="Times New Roman" w:hAnsi="Times New Roman"/>
          <w:b/>
          <w:sz w:val="24"/>
          <w:szCs w:val="24"/>
          <w:lang w:val="bs-Latn-BA"/>
        </w:rPr>
        <w:t>REDOVNOG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0C28A8B6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4" w14:textId="77777777"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029DCD1E" w14:textId="77777777" w:rsidR="009670B4" w:rsidRPr="00AE70C6" w:rsidRDefault="009670B4" w:rsidP="009670B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 (prvi)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5AAB5EB9" w14:textId="54FB1500" w:rsidR="006B258C" w:rsidRPr="009670B4" w:rsidRDefault="00887EE6" w:rsidP="009670B4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670B4">
        <w:rPr>
          <w:rFonts w:ascii="Times New Roman" w:hAnsi="Times New Roman"/>
          <w:sz w:val="24"/>
          <w:szCs w:val="24"/>
          <w:lang w:val="bs-Latn-BA"/>
        </w:rPr>
        <w:t xml:space="preserve">100,oo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BE20AF"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 w:rsidR="00BE20AF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</w:t>
      </w:r>
      <w:r w:rsidR="009670B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="00CE20A9" w:rsidRPr="00A6642A">
        <w:rPr>
          <w:sz w:val="24"/>
          <w:szCs w:val="24"/>
          <w:lang w:val="bs-Latn-BA"/>
        </w:rPr>
        <w:t xml:space="preserve"> </w:t>
      </w:r>
    </w:p>
    <w:p w14:paraId="1B8A56AC" w14:textId="77777777" w:rsidR="00B25430" w:rsidRDefault="00B25430" w:rsidP="009670B4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19F478CE" w14:textId="77777777" w:rsidR="009670B4" w:rsidRPr="00A6642A" w:rsidRDefault="009670B4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</w:t>
      </w:r>
      <w:r>
        <w:rPr>
          <w:rFonts w:ascii="Times New Roman" w:hAnsi="Times New Roman"/>
          <w:iCs/>
          <w:sz w:val="24"/>
          <w:szCs w:val="24"/>
          <w:lang w:val="hr-HR"/>
        </w:rPr>
        <w:lastRenderedPageBreak/>
        <w:t>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1AA9CB57" w14:textId="77777777" w:rsidR="009670B4" w:rsidRPr="00AE70C6" w:rsidRDefault="009670B4" w:rsidP="009670B4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STUDENT/ICA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bs-Latn-BA"/>
        </w:rPr>
        <w:t>LIKOVNIH UMEJTNOSTI</w:t>
      </w:r>
    </w:p>
    <w:p w14:paraId="7EEA9B9F" w14:textId="77777777" w:rsidR="009670B4" w:rsidRPr="00AE70C6" w:rsidRDefault="009670B4" w:rsidP="009670B4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09612CDC" w14:textId="77777777" w:rsidR="009670B4" w:rsidRDefault="009670B4" w:rsidP="009670B4">
      <w:pPr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 xml:space="preserve">    Dekanica</w:t>
      </w:r>
    </w:p>
    <w:p w14:paraId="70029E67" w14:textId="77777777" w:rsidR="009670B4" w:rsidRPr="00AE70C6" w:rsidRDefault="009670B4" w:rsidP="009670B4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Prof. dr. Dubravka Pozderac - Lejlić</w:t>
      </w:r>
    </w:p>
    <w:p w14:paraId="2F83D53F" w14:textId="77777777" w:rsidR="009670B4" w:rsidRPr="00AE70C6" w:rsidRDefault="009670B4" w:rsidP="009670B4">
      <w:pPr>
        <w:rPr>
          <w:rFonts w:ascii="Times New Roman" w:hAnsi="Times New Roman"/>
          <w:lang w:val="bs-Latn-BA"/>
        </w:rPr>
      </w:pPr>
    </w:p>
    <w:p w14:paraId="6F98A73A" w14:textId="77777777" w:rsidR="009670B4" w:rsidRPr="00AE70C6" w:rsidRDefault="009670B4" w:rsidP="009670B4">
      <w:pPr>
        <w:rPr>
          <w:rFonts w:ascii="Times New Roman" w:hAnsi="Times New Roman"/>
          <w:lang w:val="bs-Latn-BA"/>
        </w:rPr>
      </w:pPr>
      <w:r w:rsidRPr="00AE70C6">
        <w:rPr>
          <w:rFonts w:ascii="Times New Roman" w:hAnsi="Times New Roman"/>
          <w:lang w:val="bs-Latn-BA"/>
        </w:rPr>
        <w:t>Sarajevo, datum:</w:t>
      </w:r>
    </w:p>
    <w:p w14:paraId="5AAB5EF2" w14:textId="5821904D" w:rsidR="00F523B1" w:rsidRPr="000828AD" w:rsidRDefault="00F523B1" w:rsidP="009670B4">
      <w:pPr>
        <w:rPr>
          <w:rFonts w:ascii="Times New Roman" w:hAnsi="Times New Roman"/>
          <w:lang w:val="bs-Latn-BA"/>
        </w:rPr>
      </w:pP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2992" w14:textId="77777777" w:rsidR="00F9145D" w:rsidRDefault="00F9145D">
      <w:pPr>
        <w:spacing w:after="0" w:line="240" w:lineRule="auto"/>
      </w:pPr>
      <w:r>
        <w:separator/>
      </w:r>
    </w:p>
  </w:endnote>
  <w:endnote w:type="continuationSeparator" w:id="0">
    <w:p w14:paraId="764716AF" w14:textId="77777777" w:rsidR="00F9145D" w:rsidRDefault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56D4" w14:textId="77777777" w:rsidR="00F9145D" w:rsidRDefault="00F914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C2165" w14:textId="77777777" w:rsidR="00F9145D" w:rsidRDefault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83CA5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04F2"/>
    <w:rsid w:val="00444758"/>
    <w:rsid w:val="00452F88"/>
    <w:rsid w:val="00472783"/>
    <w:rsid w:val="00473089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3673A"/>
    <w:rsid w:val="006427AD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9670B4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5162C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9145D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4</cp:revision>
  <cp:lastPrinted>2024-07-01T10:21:00Z</cp:lastPrinted>
  <dcterms:created xsi:type="dcterms:W3CDTF">2025-07-09T09:57:00Z</dcterms:created>
  <dcterms:modified xsi:type="dcterms:W3CDTF">2025-07-09T10:25:00Z</dcterms:modified>
</cp:coreProperties>
</file>